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30" w:rsidRPr="00257130" w:rsidRDefault="00FA3086" w:rsidP="006550BC">
      <w:pPr>
        <w:ind w:left="708"/>
        <w:rPr>
          <w:b/>
        </w:rPr>
      </w:pPr>
      <w:r>
        <w:rPr>
          <w:b/>
        </w:rPr>
        <w:t xml:space="preserve">Közérdekű Nyugdíjas Szövetkezet által </w:t>
      </w:r>
      <w:r w:rsidR="00257130" w:rsidRPr="00257130">
        <w:rPr>
          <w:b/>
        </w:rPr>
        <w:t>Harmadik személy részére nyújtott szolgáltatás</w:t>
      </w:r>
      <w:r>
        <w:rPr>
          <w:b/>
        </w:rPr>
        <w:t xml:space="preserve"> </w:t>
      </w:r>
    </w:p>
    <w:p w:rsidR="00904118" w:rsidRDefault="00904118" w:rsidP="006550BC">
      <w:pPr>
        <w:ind w:left="708"/>
      </w:pPr>
      <w:proofErr w:type="gramStart"/>
      <w:r w:rsidRPr="00140746">
        <w:t>A  nyugdíjas</w:t>
      </w:r>
      <w:proofErr w:type="gramEnd"/>
      <w:r w:rsidRPr="00140746">
        <w:t xml:space="preserve"> szövetkezet tagja személyes közreműködését a nyugdíjas szövetkezet által harmadik személy részére nyújtott szolgáltatás (külső szolgáltatás) keretében is teljesítheti.  A nyugdíjas szövetkezet és tagja közötti külső szolgáltatásra vonatkozó tagsági megállapodás alapján létrejött </w:t>
      </w:r>
      <w:r w:rsidRPr="00140746">
        <w:rPr>
          <w:b/>
        </w:rPr>
        <w:t>sajátos jogviszony</w:t>
      </w:r>
      <w:r w:rsidRPr="00140746">
        <w:t xml:space="preserve"> keretébe: melyre a Polgári Törvénykönyvről szóló </w:t>
      </w:r>
      <w:proofErr w:type="gramStart"/>
      <w:r w:rsidRPr="00140746">
        <w:t>2013.  évi</w:t>
      </w:r>
      <w:proofErr w:type="gramEnd"/>
      <w:r w:rsidRPr="00140746">
        <w:t xml:space="preserve"> V. törvény megbízásra vonatkozó, valamint a Munka Törvénykönyvéről szóló 2012. évi I. törvény</w:t>
      </w:r>
      <w:r w:rsidR="00140746" w:rsidRPr="00140746">
        <w:t xml:space="preserve"> rendelkezéseinek a szövetkezeti törvényben ( 2006. évi X. tv.) meghatározott  szabályait kell megfelelően alkalmazni. (Szövtv.29. § (2) bekezdés). </w:t>
      </w:r>
    </w:p>
    <w:p w:rsidR="00140746" w:rsidRDefault="00140746" w:rsidP="006550BC">
      <w:pPr>
        <w:ind w:left="708"/>
      </w:pPr>
      <w:r>
        <w:t>A Szövetkezet törvény szövegébe foglalt „</w:t>
      </w:r>
      <w:proofErr w:type="gramStart"/>
      <w:r w:rsidRPr="00140746">
        <w:rPr>
          <w:b/>
        </w:rPr>
        <w:t>sajátos  jogviszony</w:t>
      </w:r>
      <w:proofErr w:type="gramEnd"/>
      <w:r>
        <w:t>” ténylegesen a megbízás és a munkaviszony „öszvér” változata.</w:t>
      </w:r>
    </w:p>
    <w:p w:rsidR="00140746" w:rsidRDefault="00140746" w:rsidP="006550BC">
      <w:pPr>
        <w:ind w:left="708"/>
      </w:pPr>
      <w:r>
        <w:t xml:space="preserve">A nyugdíjas szövetkezet a vele </w:t>
      </w:r>
      <w:r w:rsidRPr="000667A6">
        <w:rPr>
          <w:b/>
        </w:rPr>
        <w:t>sajátos jogviszonyban</w:t>
      </w:r>
      <w:r>
        <w:t xml:space="preserve"> </w:t>
      </w:r>
      <w:r w:rsidR="000667A6">
        <w:t xml:space="preserve">álló tagjának munkaerejét átengedi a </w:t>
      </w:r>
      <w:proofErr w:type="spellStart"/>
      <w:r w:rsidR="000667A6" w:rsidRPr="000667A6">
        <w:rPr>
          <w:b/>
        </w:rPr>
        <w:t>külsö</w:t>
      </w:r>
      <w:proofErr w:type="spellEnd"/>
      <w:r w:rsidR="000667A6" w:rsidRPr="000667A6">
        <w:rPr>
          <w:b/>
        </w:rPr>
        <w:t xml:space="preserve"> szolgáltatás fogadójával </w:t>
      </w:r>
      <w:r w:rsidR="000667A6">
        <w:t xml:space="preserve">kötött megállapodás </w:t>
      </w:r>
      <w:proofErr w:type="gramStart"/>
      <w:r w:rsidR="000667A6">
        <w:t>alapján  az</w:t>
      </w:r>
      <w:proofErr w:type="gramEnd"/>
      <w:r w:rsidR="000667A6">
        <w:t xml:space="preserve"> utóbbi részére.</w:t>
      </w:r>
    </w:p>
    <w:p w:rsidR="000667A6" w:rsidRDefault="000667A6" w:rsidP="006550BC">
      <w:pPr>
        <w:ind w:left="708"/>
      </w:pPr>
      <w:r>
        <w:t xml:space="preserve">A </w:t>
      </w:r>
      <w:r w:rsidRPr="000667A6">
        <w:rPr>
          <w:b/>
        </w:rPr>
        <w:t>külső szolgáltatás fogadója</w:t>
      </w:r>
      <w:r>
        <w:t xml:space="preserve"> a szolgáltatás nyújtása során a nyugdíjas szövetkezet tagját </w:t>
      </w:r>
      <w:r w:rsidRPr="000667A6">
        <w:rPr>
          <w:b/>
        </w:rPr>
        <w:t>közvetlenül utasíthatja</w:t>
      </w:r>
      <w:r>
        <w:t>. (</w:t>
      </w:r>
      <w:proofErr w:type="spellStart"/>
      <w:r>
        <w:t>Szövtv</w:t>
      </w:r>
      <w:proofErr w:type="spellEnd"/>
      <w:r>
        <w:t>. 29. § (</w:t>
      </w:r>
      <w:r w:rsidR="0079631D">
        <w:t>3</w:t>
      </w:r>
      <w:bookmarkStart w:id="0" w:name="_GoBack"/>
      <w:bookmarkEnd w:id="0"/>
      <w:r>
        <w:t>)) Az utasítási jog kiterjed különösen a feladatteljesítés mó</w:t>
      </w:r>
      <w:r w:rsidR="00257130">
        <w:t>djának, idejének és ütemezésének meghatározására.</w:t>
      </w:r>
      <w:r>
        <w:t xml:space="preserve">  Így a szolgáltatás fogadója olyan utasítási joggal rendelkezik, mint munkaerő-kölcsönzés esetén a kölcsönvevő, a részére kikölcsönzött munkavállalóval szemben.</w:t>
      </w:r>
    </w:p>
    <w:p w:rsidR="00257130" w:rsidRDefault="00257130" w:rsidP="006550BC">
      <w:pPr>
        <w:ind w:left="708"/>
        <w:rPr>
          <w:b/>
        </w:rPr>
      </w:pPr>
      <w:r w:rsidRPr="00257130">
        <w:rPr>
          <w:b/>
        </w:rPr>
        <w:t>Pihenőidőre, feladatteljesítés tartalmára vonatkozó szabályok</w:t>
      </w:r>
    </w:p>
    <w:p w:rsidR="00257130" w:rsidRDefault="00257130" w:rsidP="006550BC">
      <w:pPr>
        <w:ind w:left="708"/>
      </w:pPr>
      <w:r>
        <w:t xml:space="preserve">Ha a feladatteljesítés tartalma a napi hat órát meghaladja, napi húsz perc, ha a napi kilenc órát meghaladja, további huszonöt perc munkaközi szünetet kell biztosítani. A munkaközi szünetet a feladatteljesítés megszakításával kell kiadni. </w:t>
      </w:r>
      <w:r w:rsidR="00051E25">
        <w:t xml:space="preserve">A külső szolgáltatás fogadója </w:t>
      </w:r>
      <w:r w:rsidR="00051E25" w:rsidRPr="00051E25">
        <w:rPr>
          <w:b/>
        </w:rPr>
        <w:t>jogosult</w:t>
      </w:r>
      <w:r w:rsidR="00051E25">
        <w:t xml:space="preserve"> és egyben </w:t>
      </w:r>
      <w:r w:rsidR="00051E25" w:rsidRPr="00051E25">
        <w:rPr>
          <w:b/>
        </w:rPr>
        <w:t>köteles</w:t>
      </w:r>
      <w:r w:rsidR="00051E25">
        <w:t xml:space="preserve"> a munkaközi szünet kiadásáról gondoskodni.</w:t>
      </w:r>
      <w:r w:rsidR="005029BE">
        <w:t xml:space="preserve"> (</w:t>
      </w:r>
      <w:proofErr w:type="spellStart"/>
      <w:r w:rsidR="005029BE">
        <w:t>Szövtv</w:t>
      </w:r>
      <w:proofErr w:type="spellEnd"/>
      <w:r w:rsidR="005029BE">
        <w:t>. 29. § (4) bekezdés)</w:t>
      </w:r>
    </w:p>
    <w:p w:rsidR="00051E25" w:rsidRDefault="00051E25" w:rsidP="006550BC">
      <w:pPr>
        <w:ind w:left="708"/>
      </w:pPr>
      <w:r>
        <w:t xml:space="preserve">A nyugdíja tag, ha két egymást követő </w:t>
      </w:r>
      <w:proofErr w:type="gramStart"/>
      <w:r>
        <w:t xml:space="preserve">napon  </w:t>
      </w:r>
      <w:r w:rsidR="005029BE">
        <w:t>végzi</w:t>
      </w:r>
      <w:proofErr w:type="gramEnd"/>
      <w:r w:rsidR="005029BE">
        <w:t xml:space="preserve"> feladatát </w:t>
      </w:r>
      <w:r w:rsidR="005029BE" w:rsidRPr="005029BE">
        <w:rPr>
          <w:b/>
        </w:rPr>
        <w:t>a napi munka befejezése és a</w:t>
      </w:r>
      <w:r w:rsidR="005029BE">
        <w:t xml:space="preserve"> </w:t>
      </w:r>
      <w:r w:rsidR="005029BE" w:rsidRPr="005029BE">
        <w:rPr>
          <w:b/>
        </w:rPr>
        <w:t>következő napi munka megkezdése között legalább tizenegy óra pihenőidőt</w:t>
      </w:r>
      <w:r w:rsidR="005029BE">
        <w:t xml:space="preserve"> kell biztosítani. (</w:t>
      </w:r>
      <w:proofErr w:type="spellStart"/>
      <w:r w:rsidR="005029BE">
        <w:t>Szövtv</w:t>
      </w:r>
      <w:proofErr w:type="spellEnd"/>
      <w:r w:rsidR="005029BE">
        <w:t xml:space="preserve">. 29.§ (4) bekezdése) Bár a </w:t>
      </w:r>
      <w:proofErr w:type="spellStart"/>
      <w:r w:rsidR="005029BE">
        <w:t>Szövtv</w:t>
      </w:r>
      <w:proofErr w:type="spellEnd"/>
      <w:r w:rsidR="005029BE">
        <w:t xml:space="preserve">. nem írja elő (szemben az </w:t>
      </w:r>
      <w:proofErr w:type="spellStart"/>
      <w:r w:rsidR="005029BE">
        <w:t>Mt.-vel</w:t>
      </w:r>
      <w:proofErr w:type="spellEnd"/>
      <w:proofErr w:type="gramStart"/>
      <w:r w:rsidR="005029BE">
        <w:t>.,</w:t>
      </w:r>
      <w:proofErr w:type="gramEnd"/>
      <w:r w:rsidR="005029BE">
        <w:t xml:space="preserve"> Mt. 104. § (1) bekezdése), hogy a pihenőidőnek egybefüggőnek kell lennie, a rendeltetését a napi pihenőidő, különösen egy</w:t>
      </w:r>
      <w:r w:rsidR="00996EC1">
        <w:t xml:space="preserve"> </w:t>
      </w:r>
      <w:r w:rsidR="005029BE">
        <w:t>fáradékonyabb nyugdíjas esetében csak így töltheti be.</w:t>
      </w:r>
    </w:p>
    <w:p w:rsidR="005029BE" w:rsidRDefault="005029BE" w:rsidP="006550BC">
      <w:pPr>
        <w:ind w:left="708"/>
      </w:pPr>
      <w:r>
        <w:t xml:space="preserve">A szövetkezeti törvény – szintén az </w:t>
      </w:r>
      <w:proofErr w:type="spellStart"/>
      <w:r>
        <w:t>Mt.-vel</w:t>
      </w:r>
      <w:proofErr w:type="spellEnd"/>
      <w:r>
        <w:t xml:space="preserve"> ellentétben</w:t>
      </w:r>
      <w:r w:rsidR="00AB7614">
        <w:t xml:space="preserve"> </w:t>
      </w:r>
      <w:proofErr w:type="gramStart"/>
      <w:r w:rsidR="00AB7614">
        <w:t>( Mt</w:t>
      </w:r>
      <w:proofErr w:type="gramEnd"/>
      <w:r w:rsidR="00AB7614">
        <w:t xml:space="preserve">. 104. § (2)) </w:t>
      </w:r>
      <w:r>
        <w:t>-</w:t>
      </w:r>
      <w:r w:rsidR="00AB7614">
        <w:t xml:space="preserve"> </w:t>
      </w:r>
      <w:r w:rsidRPr="00AB7614">
        <w:rPr>
          <w:b/>
        </w:rPr>
        <w:t>nem teremt lehetőséget</w:t>
      </w:r>
      <w:r w:rsidR="00AB7614" w:rsidRPr="00AB7614">
        <w:rPr>
          <w:b/>
        </w:rPr>
        <w:t xml:space="preserve"> a legalább nyolc óra napi pihenőidő</w:t>
      </w:r>
      <w:r w:rsidR="00AB7614">
        <w:rPr>
          <w:b/>
        </w:rPr>
        <w:t xml:space="preserve"> </w:t>
      </w:r>
      <w:r w:rsidR="00AB7614" w:rsidRPr="00AB7614">
        <w:rPr>
          <w:b/>
        </w:rPr>
        <w:t>biztosítására</w:t>
      </w:r>
      <w:r w:rsidR="00AB7614">
        <w:t xml:space="preserve"> akkor, ha az öregségi nyugdíjas feladatát például megszakítás nélküli vagy idényjellegű tevékenység keretében teljesíti. </w:t>
      </w:r>
    </w:p>
    <w:p w:rsidR="00AB7614" w:rsidRDefault="00AB7614" w:rsidP="006550BC">
      <w:pPr>
        <w:ind w:left="708"/>
      </w:pPr>
      <w:r w:rsidRPr="00AB7614">
        <w:rPr>
          <w:b/>
        </w:rPr>
        <w:t>A napi pihenőidő tartamába beszámít</w:t>
      </w:r>
      <w:r>
        <w:t xml:space="preserve"> a feladatteljesítés helyéről történő haza, valamint a lakóhelyről a feladatteljesítés helyére történő utazás is.</w:t>
      </w:r>
    </w:p>
    <w:p w:rsidR="00AB7614" w:rsidRDefault="00AB7614" w:rsidP="006550BC">
      <w:pPr>
        <w:ind w:left="708"/>
      </w:pPr>
      <w:r w:rsidRPr="00AB2EC2">
        <w:rPr>
          <w:b/>
        </w:rPr>
        <w:t xml:space="preserve">A szövetkezeti </w:t>
      </w:r>
      <w:proofErr w:type="gramStart"/>
      <w:r w:rsidRPr="00AB2EC2">
        <w:rPr>
          <w:b/>
        </w:rPr>
        <w:t>törvény</w:t>
      </w:r>
      <w:r w:rsidRPr="00AB7614">
        <w:t xml:space="preserve"> </w:t>
      </w:r>
      <w:r>
        <w:rPr>
          <w:b/>
        </w:rPr>
        <w:t xml:space="preserve">  </w:t>
      </w:r>
      <w:r w:rsidRPr="00AB7614">
        <w:t>-</w:t>
      </w:r>
      <w:proofErr w:type="gramEnd"/>
      <w:r>
        <w:t xml:space="preserve"> Igazodva a Ptk. </w:t>
      </w:r>
      <w:proofErr w:type="spellStart"/>
      <w:r>
        <w:t>beli</w:t>
      </w:r>
      <w:proofErr w:type="spellEnd"/>
      <w:r>
        <w:t xml:space="preserve"> szabályokhoz – arról már </w:t>
      </w:r>
      <w:r w:rsidRPr="00AB7614">
        <w:rPr>
          <w:b/>
        </w:rPr>
        <w:t>nem rendelkezik</w:t>
      </w:r>
      <w:r>
        <w:t xml:space="preserve">, </w:t>
      </w:r>
      <w:r w:rsidRPr="00AB2EC2">
        <w:rPr>
          <w:b/>
        </w:rPr>
        <w:t>mennyi lehet a feladatteljesítés idejének napi maximuma</w:t>
      </w:r>
      <w:r>
        <w:t>. Közvetetten</w:t>
      </w:r>
      <w:r w:rsidR="00AB2EC2">
        <w:t xml:space="preserve"> ezt a napi pihenőidő 11 órásszabályozása korlátozza napi 13 órára. Miután </w:t>
      </w:r>
      <w:r w:rsidR="00AB2EC2" w:rsidRPr="00AB2EC2">
        <w:rPr>
          <w:b/>
        </w:rPr>
        <w:t>a szövetkezeti törvény szerint nem jár</w:t>
      </w:r>
      <w:r w:rsidR="00AB2EC2">
        <w:t xml:space="preserve"> </w:t>
      </w:r>
      <w:r w:rsidR="00AB2EC2" w:rsidRPr="00AB2EC2">
        <w:rPr>
          <w:b/>
        </w:rPr>
        <w:t>pihenőnap,</w:t>
      </w:r>
      <w:r w:rsidR="00AB2EC2">
        <w:t xml:space="preserve"> a nyugdíjas tag, akár hetente hét napon át is teljesítheti </w:t>
      </w:r>
      <w:proofErr w:type="gramStart"/>
      <w:r w:rsidR="00AB2EC2">
        <w:t>feladatát ,</w:t>
      </w:r>
      <w:proofErr w:type="gramEnd"/>
      <w:r w:rsidR="00AB2EC2">
        <w:t xml:space="preserve"> naponta 13 órában. </w:t>
      </w:r>
    </w:p>
    <w:p w:rsidR="00AB2EC2" w:rsidRDefault="00AB2EC2" w:rsidP="006550BC">
      <w:pPr>
        <w:ind w:left="708"/>
        <w:rPr>
          <w:b/>
        </w:rPr>
      </w:pPr>
      <w:r>
        <w:rPr>
          <w:b/>
        </w:rPr>
        <w:t>Díjazási minimumok</w:t>
      </w:r>
    </w:p>
    <w:p w:rsidR="00AB2EC2" w:rsidRDefault="00AB2EC2" w:rsidP="006550BC">
      <w:pPr>
        <w:ind w:left="708"/>
      </w:pPr>
      <w:r w:rsidRPr="00AB2EC2">
        <w:t>A k</w:t>
      </w:r>
      <w:r>
        <w:t>ülső szolgáltatás fogadójánál történő feladatteljesítés tartamára járó, az egyes feladatok teljesítéséhez kapcsolódó díj nem lehet kevesebb, mint az Mt. 153. §</w:t>
      </w:r>
      <w:proofErr w:type="spellStart"/>
      <w:r>
        <w:t>-ábanfoglalt</w:t>
      </w:r>
      <w:proofErr w:type="spellEnd"/>
      <w:r>
        <w:t xml:space="preserve"> felhatalmazás alapján kiadott jogszabályban meghatározott minimális összeg. (</w:t>
      </w:r>
      <w:proofErr w:type="spellStart"/>
      <w:r>
        <w:t>Szövtv</w:t>
      </w:r>
      <w:proofErr w:type="spellEnd"/>
      <w:r>
        <w:t xml:space="preserve">. 29. § (5) bekezdés) </w:t>
      </w:r>
    </w:p>
    <w:p w:rsidR="00AB2EC2" w:rsidRDefault="00AB2EC2" w:rsidP="006550BC">
      <w:pPr>
        <w:ind w:left="708"/>
      </w:pPr>
      <w:r>
        <w:lastRenderedPageBreak/>
        <w:t>2018-ban</w:t>
      </w:r>
      <w:r w:rsidR="00FA3086">
        <w:t xml:space="preserve"> a minimálbér:</w:t>
      </w:r>
      <w:r>
        <w:t xml:space="preserve"> havibér alkalmazása esetén 138 000 forint, het</w:t>
      </w:r>
      <w:r w:rsidR="00FA3086">
        <w:t>i</w:t>
      </w:r>
      <w:r>
        <w:t>bér</w:t>
      </w:r>
      <w:r w:rsidR="00FA3086">
        <w:t xml:space="preserve"> </w:t>
      </w:r>
      <w:r>
        <w:t>alkalmazása esetén</w:t>
      </w:r>
      <w:r w:rsidR="00FA3086">
        <w:t xml:space="preserve"> 31 730 forint, napibér alkalmazása esetén 6 350 forint, órabér alkalmazása esetén 794 forint. </w:t>
      </w:r>
    </w:p>
    <w:p w:rsidR="00FA3086" w:rsidRPr="00AB2EC2" w:rsidRDefault="00FA3086" w:rsidP="006550BC">
      <w:pPr>
        <w:ind w:left="708"/>
      </w:pPr>
      <w:r>
        <w:t>2018-ban garantált bérminimum: havibér alkalmazása esetén 180 500 forint, hetibér alkalmazása esetén 41 500 forint, napibér alkalmazása esetén 8 300 forint, órabér alkalmazása esetén 1038 forint.</w:t>
      </w:r>
    </w:p>
    <w:p w:rsidR="005029BE" w:rsidRPr="00257130" w:rsidRDefault="005029BE" w:rsidP="006550BC">
      <w:pPr>
        <w:ind w:left="708"/>
      </w:pPr>
    </w:p>
    <w:p w:rsidR="00257130" w:rsidRPr="00257130" w:rsidRDefault="00257130" w:rsidP="006550BC">
      <w:pPr>
        <w:ind w:left="708"/>
        <w:rPr>
          <w:b/>
        </w:rPr>
      </w:pPr>
    </w:p>
    <w:p w:rsidR="00140746" w:rsidRPr="00140746" w:rsidRDefault="00140746" w:rsidP="006550BC">
      <w:pPr>
        <w:ind w:left="708"/>
      </w:pPr>
    </w:p>
    <w:p w:rsidR="00E5099C" w:rsidRDefault="00E5099C" w:rsidP="00FA3086">
      <w:pPr>
        <w:ind w:left="708"/>
        <w:rPr>
          <w:b/>
        </w:rPr>
      </w:pPr>
      <w:r>
        <w:rPr>
          <w:b/>
        </w:rPr>
        <w:br/>
      </w:r>
    </w:p>
    <w:p w:rsidR="00FB6D89" w:rsidRDefault="00FB6D89" w:rsidP="006550BC">
      <w:pPr>
        <w:ind w:left="708"/>
        <w:rPr>
          <w:b/>
        </w:rPr>
      </w:pPr>
    </w:p>
    <w:p w:rsidR="006550BC" w:rsidRDefault="006550BC" w:rsidP="006550BC">
      <w:pPr>
        <w:ind w:left="708"/>
        <w:rPr>
          <w:b/>
        </w:rPr>
      </w:pPr>
    </w:p>
    <w:sectPr w:rsidR="006550BC" w:rsidSect="00FF4BA9">
      <w:headerReference w:type="default" r:id="rId8"/>
      <w:pgSz w:w="11906" w:h="16838"/>
      <w:pgMar w:top="1134" w:right="1361" w:bottom="1134" w:left="136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45" w:rsidRDefault="00684645" w:rsidP="00FF4BA9">
      <w:pPr>
        <w:spacing w:after="0" w:line="240" w:lineRule="auto"/>
      </w:pPr>
      <w:r>
        <w:separator/>
      </w:r>
    </w:p>
  </w:endnote>
  <w:endnote w:type="continuationSeparator" w:id="0">
    <w:p w:rsidR="00684645" w:rsidRDefault="00684645" w:rsidP="00FF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45" w:rsidRDefault="00684645" w:rsidP="00FF4BA9">
      <w:pPr>
        <w:spacing w:after="0" w:line="240" w:lineRule="auto"/>
      </w:pPr>
      <w:r>
        <w:separator/>
      </w:r>
    </w:p>
  </w:footnote>
  <w:footnote w:type="continuationSeparator" w:id="0">
    <w:p w:rsidR="00684645" w:rsidRDefault="00684645" w:rsidP="00FF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A9" w:rsidRDefault="00FF4BA9" w:rsidP="00FF4BA9">
    <w:pPr>
      <w:pStyle w:val="lfej"/>
      <w:tabs>
        <w:tab w:val="clear" w:pos="4536"/>
        <w:tab w:val="clear" w:pos="9072"/>
        <w:tab w:val="left" w:pos="1485"/>
        <w:tab w:val="left" w:pos="1950"/>
        <w:tab w:val="left" w:pos="3315"/>
      </w:tabs>
      <w:jc w:val="center"/>
    </w:pPr>
  </w:p>
  <w:p w:rsidR="00FF4BA9" w:rsidRDefault="00FF4BA9" w:rsidP="00FF4BA9">
    <w:pPr>
      <w:pStyle w:val="lfej"/>
      <w:tabs>
        <w:tab w:val="clear" w:pos="4536"/>
        <w:tab w:val="clear" w:pos="9072"/>
        <w:tab w:val="left" w:pos="1485"/>
        <w:tab w:val="left" w:pos="1950"/>
        <w:tab w:val="left" w:pos="331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74E"/>
    <w:multiLevelType w:val="hybridMultilevel"/>
    <w:tmpl w:val="A5320986"/>
    <w:lvl w:ilvl="0" w:tplc="82A6C0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D0CF1"/>
    <w:multiLevelType w:val="hybridMultilevel"/>
    <w:tmpl w:val="8B000BB0"/>
    <w:lvl w:ilvl="0" w:tplc="ED22BF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611A9"/>
    <w:multiLevelType w:val="hybridMultilevel"/>
    <w:tmpl w:val="5A00356C"/>
    <w:lvl w:ilvl="0" w:tplc="B9D21F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1406B78"/>
    <w:multiLevelType w:val="hybridMultilevel"/>
    <w:tmpl w:val="84403186"/>
    <w:lvl w:ilvl="0" w:tplc="0F5A3C94">
      <w:start w:val="19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3A03A35"/>
    <w:multiLevelType w:val="hybridMultilevel"/>
    <w:tmpl w:val="36B4EDE6"/>
    <w:lvl w:ilvl="0" w:tplc="D60E7E00">
      <w:start w:val="28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2C"/>
    <w:rsid w:val="000031EA"/>
    <w:rsid w:val="00006655"/>
    <w:rsid w:val="000070E4"/>
    <w:rsid w:val="000277EC"/>
    <w:rsid w:val="0003352E"/>
    <w:rsid w:val="00051E25"/>
    <w:rsid w:val="00061EF5"/>
    <w:rsid w:val="000667A6"/>
    <w:rsid w:val="00081D65"/>
    <w:rsid w:val="00085A88"/>
    <w:rsid w:val="00087871"/>
    <w:rsid w:val="000D356C"/>
    <w:rsid w:val="00111B36"/>
    <w:rsid w:val="00127D9E"/>
    <w:rsid w:val="001309E4"/>
    <w:rsid w:val="00140746"/>
    <w:rsid w:val="00155D51"/>
    <w:rsid w:val="0016544F"/>
    <w:rsid w:val="0018104C"/>
    <w:rsid w:val="001975EC"/>
    <w:rsid w:val="001C70B5"/>
    <w:rsid w:val="001E3D2A"/>
    <w:rsid w:val="001F0CA6"/>
    <w:rsid w:val="00201CFB"/>
    <w:rsid w:val="00227685"/>
    <w:rsid w:val="00227DAE"/>
    <w:rsid w:val="00235B03"/>
    <w:rsid w:val="00257130"/>
    <w:rsid w:val="00280516"/>
    <w:rsid w:val="00297BB1"/>
    <w:rsid w:val="002A12AB"/>
    <w:rsid w:val="002A68C9"/>
    <w:rsid w:val="002D45FD"/>
    <w:rsid w:val="002D749E"/>
    <w:rsid w:val="002E0B61"/>
    <w:rsid w:val="002E186B"/>
    <w:rsid w:val="00336232"/>
    <w:rsid w:val="003635E3"/>
    <w:rsid w:val="003930D3"/>
    <w:rsid w:val="003B7632"/>
    <w:rsid w:val="003F0808"/>
    <w:rsid w:val="003F638B"/>
    <w:rsid w:val="00400301"/>
    <w:rsid w:val="004164F0"/>
    <w:rsid w:val="004178B2"/>
    <w:rsid w:val="00427AF2"/>
    <w:rsid w:val="004426D5"/>
    <w:rsid w:val="00445FEE"/>
    <w:rsid w:val="00455247"/>
    <w:rsid w:val="00490A9E"/>
    <w:rsid w:val="00492421"/>
    <w:rsid w:val="004B19B0"/>
    <w:rsid w:val="004C17F1"/>
    <w:rsid w:val="00501CEF"/>
    <w:rsid w:val="005029BE"/>
    <w:rsid w:val="005454C8"/>
    <w:rsid w:val="00584091"/>
    <w:rsid w:val="005B1721"/>
    <w:rsid w:val="005C4871"/>
    <w:rsid w:val="005D176F"/>
    <w:rsid w:val="005E537E"/>
    <w:rsid w:val="00611449"/>
    <w:rsid w:val="00626F20"/>
    <w:rsid w:val="006458BC"/>
    <w:rsid w:val="006550BC"/>
    <w:rsid w:val="006606DD"/>
    <w:rsid w:val="00684645"/>
    <w:rsid w:val="006F1CD3"/>
    <w:rsid w:val="00701BA2"/>
    <w:rsid w:val="007354F2"/>
    <w:rsid w:val="00750AEE"/>
    <w:rsid w:val="0079631D"/>
    <w:rsid w:val="007A5840"/>
    <w:rsid w:val="007B2308"/>
    <w:rsid w:val="007C19DD"/>
    <w:rsid w:val="007D6BC7"/>
    <w:rsid w:val="008076B5"/>
    <w:rsid w:val="00833E99"/>
    <w:rsid w:val="0085474E"/>
    <w:rsid w:val="008620AF"/>
    <w:rsid w:val="0087467D"/>
    <w:rsid w:val="0089415C"/>
    <w:rsid w:val="00895911"/>
    <w:rsid w:val="008A5C5F"/>
    <w:rsid w:val="008D45AF"/>
    <w:rsid w:val="00903E19"/>
    <w:rsid w:val="00904118"/>
    <w:rsid w:val="00910DDD"/>
    <w:rsid w:val="00916265"/>
    <w:rsid w:val="009340A4"/>
    <w:rsid w:val="00996EC1"/>
    <w:rsid w:val="009D3E8A"/>
    <w:rsid w:val="00A03025"/>
    <w:rsid w:val="00A10295"/>
    <w:rsid w:val="00A20F58"/>
    <w:rsid w:val="00A305F8"/>
    <w:rsid w:val="00A42AD4"/>
    <w:rsid w:val="00A44E9E"/>
    <w:rsid w:val="00AB2EC2"/>
    <w:rsid w:val="00AB7614"/>
    <w:rsid w:val="00AC78D8"/>
    <w:rsid w:val="00AD79EC"/>
    <w:rsid w:val="00B128A1"/>
    <w:rsid w:val="00B12DE8"/>
    <w:rsid w:val="00B363B9"/>
    <w:rsid w:val="00B90479"/>
    <w:rsid w:val="00BB200A"/>
    <w:rsid w:val="00BF6A53"/>
    <w:rsid w:val="00BF6C2C"/>
    <w:rsid w:val="00C0589C"/>
    <w:rsid w:val="00C1762A"/>
    <w:rsid w:val="00C279F7"/>
    <w:rsid w:val="00C968D8"/>
    <w:rsid w:val="00CE66AE"/>
    <w:rsid w:val="00D1001C"/>
    <w:rsid w:val="00D12FEB"/>
    <w:rsid w:val="00D276BA"/>
    <w:rsid w:val="00D7537F"/>
    <w:rsid w:val="00D84D5D"/>
    <w:rsid w:val="00E16365"/>
    <w:rsid w:val="00E4520B"/>
    <w:rsid w:val="00E5099C"/>
    <w:rsid w:val="00E83083"/>
    <w:rsid w:val="00E87102"/>
    <w:rsid w:val="00EB1211"/>
    <w:rsid w:val="00EC3FC2"/>
    <w:rsid w:val="00EC47A3"/>
    <w:rsid w:val="00ED3A8C"/>
    <w:rsid w:val="00F04798"/>
    <w:rsid w:val="00F132D5"/>
    <w:rsid w:val="00F26CFE"/>
    <w:rsid w:val="00F426D0"/>
    <w:rsid w:val="00F4743E"/>
    <w:rsid w:val="00F532F9"/>
    <w:rsid w:val="00F804A3"/>
    <w:rsid w:val="00FA3086"/>
    <w:rsid w:val="00FB6D89"/>
    <w:rsid w:val="00FF38D4"/>
    <w:rsid w:val="00FF4BA9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19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4BA9"/>
  </w:style>
  <w:style w:type="paragraph" w:styleId="llb">
    <w:name w:val="footer"/>
    <w:basedOn w:val="Norml"/>
    <w:link w:val="llbChar"/>
    <w:uiPriority w:val="99"/>
    <w:unhideWhenUsed/>
    <w:rsid w:val="00FF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4BA9"/>
  </w:style>
  <w:style w:type="paragraph" w:styleId="Listaszerbekezds">
    <w:name w:val="List Paragraph"/>
    <w:basedOn w:val="Norml"/>
    <w:uiPriority w:val="34"/>
    <w:qFormat/>
    <w:rsid w:val="007C1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19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4BA9"/>
  </w:style>
  <w:style w:type="paragraph" w:styleId="llb">
    <w:name w:val="footer"/>
    <w:basedOn w:val="Norml"/>
    <w:link w:val="llbChar"/>
    <w:uiPriority w:val="99"/>
    <w:unhideWhenUsed/>
    <w:rsid w:val="00FF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4BA9"/>
  </w:style>
  <w:style w:type="paragraph" w:styleId="Listaszerbekezds">
    <w:name w:val="List Paragraph"/>
    <w:basedOn w:val="Norml"/>
    <w:uiPriority w:val="34"/>
    <w:qFormat/>
    <w:rsid w:val="007C1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Eszenyi Csaba</dc:creator>
  <cp:lastModifiedBy>Teca</cp:lastModifiedBy>
  <cp:revision>6</cp:revision>
  <cp:lastPrinted>2018-04-04T09:52:00Z</cp:lastPrinted>
  <dcterms:created xsi:type="dcterms:W3CDTF">2018-04-19T06:50:00Z</dcterms:created>
  <dcterms:modified xsi:type="dcterms:W3CDTF">2018-04-19T08:43:00Z</dcterms:modified>
</cp:coreProperties>
</file>